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0"/>
          <w:szCs w:val="30"/>
        </w:rPr>
        <w:t>附件</w:t>
      </w: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1</w:t>
      </w:r>
      <w:r>
        <w:rPr>
          <w:rFonts w:hint="eastAsia" w:ascii="黑体" w:hAnsi="黑体" w:eastAsia="黑体" w:cs="黑体"/>
          <w:sz w:val="36"/>
          <w:szCs w:val="36"/>
        </w:rPr>
        <w:t xml:space="preserve">  </w:t>
      </w:r>
    </w:p>
    <w:p>
      <w:pPr>
        <w:jc w:val="center"/>
        <w:rPr>
          <w:rFonts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海南师范大学在线课程建设评估标准（试行）</w:t>
      </w:r>
    </w:p>
    <w:tbl>
      <w:tblPr>
        <w:tblStyle w:val="7"/>
        <w:tblW w:w="9067" w:type="dxa"/>
        <w:jc w:val="center"/>
        <w:tblInd w:w="-44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9"/>
        <w:gridCol w:w="1455"/>
        <w:gridCol w:w="5355"/>
        <w:gridCol w:w="480"/>
        <w:gridCol w:w="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一级指标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具体考察点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评估标准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属性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b/>
                <w:szCs w:val="21"/>
              </w:rPr>
              <w:t>分值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1.课程基本信息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1.1课程介绍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对本课程做详细介绍，包括本课程的教学目的、教学条件、教学内容、教学方法、课程特色等基本信息。</w:t>
            </w:r>
          </w:p>
        </w:tc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1.2教师介绍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对本课程主持人和主讲教师做详细介绍，包括基本简历、研究方向、教学研究项目与教学成果及获奖、教学特色、科学研究项目与论文及获奖情况等。</w:t>
            </w:r>
          </w:p>
        </w:tc>
        <w:tc>
          <w:tcPr>
            <w:tcW w:w="4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1.3教学团队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除了课程负责人以外，还有其他1个以上的老师共同组成教学团队建设课程。</w:t>
            </w:r>
          </w:p>
        </w:tc>
        <w:tc>
          <w:tcPr>
            <w:tcW w:w="4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1.4教学进度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以“周”为单位设计教学进度。</w:t>
            </w:r>
          </w:p>
        </w:tc>
        <w:tc>
          <w:tcPr>
            <w:tcW w:w="4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2.教学内容与资源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2.1教学大纲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以章节为单位提供相应的学习内容、学习要求和学习重点、难点。有实习的课程上传有实习大纲。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2.2教材教参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明确介绍课程选用教材名称、主编、出版社及版本；列出相关参考教材名称、主编、出版社及版本等；有自编教材和出版教材的，上网电子教材主要内容。</w:t>
            </w:r>
          </w:p>
        </w:tc>
        <w:tc>
          <w:tcPr>
            <w:tcW w:w="48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1" w:leftChars="-48" w:right="-132" w:rightChars="-63" w:firstLine="88" w:firstLineChars="4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2.3 课程教案（课件）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有本课程完整的授课教案（课件），要求以本课程“章”或“节”为单位设计知识点，制作以课程“章”或“节”为单位的电子教案或课件。理论内容符合教学大纲的要求；实验内容符合实验指导，综合性、设计性、创新性结合得当；按章节划分课程内容，体现出每章节的主题、重点、难点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right="-132" w:rightChars="-63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2.4授课视频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制作课程片花（介绍课程，3分钟左右）；能提供本课程主讲教师和其他老师的课堂授课视频，最好做成微课形式。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widowControl/>
              <w:spacing w:line="340" w:lineRule="exact"/>
              <w:ind w:left="-101" w:leftChars="-48" w:right="-132" w:rightChars="-63" w:firstLine="88" w:firstLineChars="4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2.5辅助资源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提供和本课程有关的、有利于学生素质提高和知识拓展的相关资源或网络资源链接。包括电子图书、学术视频、论文链接、网站链接及本课程前沿问题和热点问题讨论的链接等。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1" w:leftChars="-48" w:right="-132" w:rightChars="-63" w:firstLine="88" w:firstLineChars="4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2.6作业习题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按课程章节提供作业习题，作业习题包括测验习题、讨论习题以及思考题。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  <w:p>
            <w:pPr>
              <w:widowControl/>
              <w:spacing w:line="340" w:lineRule="exact"/>
              <w:ind w:left="-101" w:leftChars="-48" w:right="-132" w:rightChars="-63" w:firstLine="88" w:firstLineChars="42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340" w:lineRule="exact"/>
              <w:ind w:left="-101" w:leftChars="-48" w:right="-132" w:rightChars="-63" w:firstLine="88" w:firstLineChars="42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2.7考核试卷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上传本课程至少3套以上考试试卷或模拟试卷、参考答案和评分标准。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  <w:p>
            <w:pPr>
              <w:widowControl/>
              <w:spacing w:line="340" w:lineRule="exact"/>
              <w:ind w:left="-101" w:leftChars="-48" w:right="-132" w:rightChars="-63" w:firstLine="88" w:firstLineChars="42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3.教学设计与方法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3.1考核办法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提供本课程详细的考核办法。包括：学习内容、讨论次数、成绩比例、阶段测试、期末考试、课程论文等要求。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3.2教学改革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上传有关本课程教学改革计划、实施方案、改革成果等。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3.3学习方法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能对如何学好本课程给出指导性意见，如本课程学习要求、学习难点、学习特点和具体的学习方法等。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3.4实践指导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对于有实验要求的课程，能以教学大纲规定的实验为基础，为每一个实验配套相应的实验指导。有实习的课程应根据实习大纲制定实习指导。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4.师生互动情况</w:t>
            </w:r>
          </w:p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4.1在线交流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跟学生进行在线讨论或聊天（每周不低于1次）。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4.2在线作业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按章节通过互动模块布置作业，学生一学期至少3次在网上提交作业，教师在网上对作业及时进行批改。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4.3在线答疑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对学生提出的问题能及时进行解答（间隔时间不超过1周）。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5.教学技术与规范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5.1音视频规范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微课、课件的音视频制作要符合相关标准和规范，见</w:t>
            </w:r>
            <w:r>
              <w:rPr>
                <w:rFonts w:ascii="宋体" w:hAnsi="宋体" w:cs="宋体"/>
                <w:szCs w:val="21"/>
              </w:rPr>
              <w:t>附件</w:t>
            </w:r>
            <w:r>
              <w:rPr>
                <w:rFonts w:hint="eastAsia" w:ascii="宋体" w:hAnsi="宋体" w:cs="宋体"/>
                <w:szCs w:val="21"/>
              </w:rPr>
              <w:t>6。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必选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  <w:jc w:val="center"/>
        </w:trPr>
        <w:tc>
          <w:tcPr>
            <w:tcW w:w="12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5.2网站可视性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网站栏目设计符合课程学科特点；网站页面美观、实用。</w:t>
            </w:r>
          </w:p>
        </w:tc>
        <w:tc>
          <w:tcPr>
            <w:tcW w:w="48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both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6.教学总结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总结反馈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引用在线教学后，教学过程中取得的效果，存在的问题与不足；平台需要改进的地方；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7.其他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7.1特色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是否有根据课程特色设计的栏目或内容（与课程相关的图片库、视频库、动态的页面、试题库等）。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90" w:leftChars="-43" w:right="-94" w:rightChars="-45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7.2专家印象</w:t>
            </w:r>
          </w:p>
        </w:tc>
        <w:tc>
          <w:tcPr>
            <w:tcW w:w="5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专家对本门课程的整体印象。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可选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exact"/>
              <w:ind w:left="-105" w:leftChars="-50" w:right="-109" w:rightChars="-52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5</w:t>
            </w:r>
          </w:p>
        </w:tc>
      </w:tr>
    </w:tbl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说明：</w:t>
      </w:r>
    </w:p>
    <w:p>
      <w:pPr>
        <w:ind w:left="839" w:leftChars="266" w:hanging="280" w:hangingChars="1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1.</w:t>
      </w:r>
      <w:r>
        <w:rPr>
          <w:rFonts w:hint="eastAsia" w:ascii="黑体" w:hAnsi="黑体" w:eastAsia="黑体" w:cs="黑体"/>
          <w:spacing w:val="-6"/>
          <w:sz w:val="28"/>
          <w:szCs w:val="28"/>
        </w:rPr>
        <w:t>本评估标准主要针对首批在线课程的建设，后续将继续更改完善</w:t>
      </w:r>
      <w:r>
        <w:rPr>
          <w:rFonts w:hint="eastAsia" w:ascii="黑体" w:hAnsi="黑体" w:eastAsia="黑体" w:cs="黑体"/>
          <w:sz w:val="28"/>
          <w:szCs w:val="28"/>
        </w:rPr>
        <w:t>。</w:t>
      </w:r>
    </w:p>
    <w:p>
      <w:pPr>
        <w:ind w:left="839" w:leftChars="266" w:hanging="280" w:hangingChars="1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2.属性为“必选”的指标缺项将不能评为合格。分值是各考察点的满分，专家根据各考察点的评估标准给出得分（0≤得分≤分值）。</w:t>
      </w:r>
    </w:p>
    <w:p>
      <w:pPr>
        <w:ind w:firstLine="560" w:firstLineChars="200"/>
        <w:rPr>
          <w:rFonts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3.课程总分≥60分 为“合</w:t>
      </w: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</w:rPr>
        <w:t>格”，&lt;60分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为“</w:t>
      </w:r>
      <w:r>
        <w:rPr>
          <w:rFonts w:hint="eastAsia" w:ascii="黑体" w:hAnsi="黑体" w:eastAsia="黑体" w:cs="黑体"/>
          <w:sz w:val="28"/>
          <w:szCs w:val="28"/>
        </w:rPr>
        <w:t>不合格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”</w:t>
      </w:r>
      <w:r>
        <w:rPr>
          <w:rFonts w:hint="eastAsia" w:ascii="黑体" w:hAnsi="黑体" w:eastAsia="黑体" w:cs="黑体"/>
          <w:sz w:val="28"/>
          <w:szCs w:val="28"/>
        </w:rPr>
        <w:t>。</w:t>
      </w:r>
    </w:p>
    <w:p>
      <w:pPr>
        <w:rPr>
          <w:rFonts w:ascii="黑体" w:hAnsi="黑体" w:eastAsia="黑体" w:cs="黑体"/>
          <w:b/>
          <w:bCs/>
          <w:sz w:val="28"/>
          <w:szCs w:val="28"/>
        </w:rPr>
      </w:pPr>
    </w:p>
    <w:p>
      <w:pPr>
        <w:rPr>
          <w:rFonts w:ascii="黑体" w:hAnsi="黑体" w:eastAsia="黑体" w:cs="黑体"/>
          <w:b/>
          <w:bCs/>
          <w:sz w:val="28"/>
          <w:szCs w:val="28"/>
        </w:rPr>
      </w:pPr>
    </w:p>
    <w:sectPr>
      <w:footerReference r:id="rId3" w:type="default"/>
      <w:footerReference r:id="rId4" w:type="even"/>
      <w:pgSz w:w="11906" w:h="16838"/>
      <w:pgMar w:top="1417" w:right="1417" w:bottom="1417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8109C5-340E-4AAB-B7F3-7FC6AF51E5D5}">
  <ds:schemaRefs/>
</ds:datastoreItem>
</file>