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1094F"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附件：海南师范大学桂林洋校区户外电子屏项目项目评分标准</w:t>
      </w:r>
    </w:p>
    <w:bookmarkEnd w:id="0"/>
    <w:p w14:paraId="159A4E85"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138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796"/>
        <w:gridCol w:w="1404"/>
        <w:gridCol w:w="8677"/>
      </w:tblGrid>
      <w:tr w14:paraId="5AB66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B81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8E36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评分内容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40D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分值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4CF8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评分说明和标准</w:t>
            </w:r>
          </w:p>
        </w:tc>
      </w:tr>
      <w:tr w14:paraId="5B7EC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DE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FF4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投标报价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20C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40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9C9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投标人报价得分＝（有效最低投标报价／该投标人报价）×40（保留2位小数点，第3位四舍五入）</w:t>
            </w:r>
          </w:p>
        </w:tc>
      </w:tr>
      <w:tr w14:paraId="31757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31F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F10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LED设备选型及配置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3C4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b w:val="0"/>
                <w:bCs w:val="0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6D2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根据产品选型和配置优劣进行比较评价：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第一档，产品选型先进，功能配置强，技术参数完全达到且部分优于标书要求，得15.01-20分；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第二档，产品选型合理，功能配置较好，技术参数满足标书要求，得10.01-15分；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第三档，产品选型一般或欠合理，功能配置一般或较差，技术参数低于其他档次产品，得0-10分。</w:t>
            </w:r>
          </w:p>
        </w:tc>
      </w:tr>
      <w:tr w14:paraId="36836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C91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168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钢结构设计方案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190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1E8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根据钢结构设计方案的合理性、完善程度、等进行比较，按优劣进行分档评分：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第一档，设计方案合理，内容详细，配置完善，达到和优于招标要求，得15.01-20分；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第二档，设计方案较合理，内容较详细，配置合理，基本达到招标要求，得10.01-15分；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第三档，设计方案一般，内容有遗漏，配置欠合理，得0-10分。</w:t>
            </w:r>
          </w:p>
        </w:tc>
      </w:tr>
      <w:tr w14:paraId="727ED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DB8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5C7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售后服务承诺及保障体系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EAA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微软雅黑" w:hAnsi="微软雅黑" w:eastAsia="微软雅黑" w:cs="微软雅黑"/>
                <w:sz w:val="30"/>
                <w:szCs w:val="30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4F1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根据售后服务、技术支持能力与承诺优劣进行综合比较评价：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第一档，售后服务保障体系及措施完善，技术支持能力强，服务响应快，响应程度高或优于采购需求的，得7.01-10分；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第二档，售后服务保障体系及多措施较好，技术支持能力较强，服务响应较快，满足采购需求，得5.01-7分；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第三档，售后服务保障体系及措施基本符合招标要求，但技术支持能力和服务响应速度较差或一般，得0-5分。</w:t>
            </w:r>
          </w:p>
        </w:tc>
      </w:tr>
      <w:tr w14:paraId="5EF66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604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27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87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培训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7A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4F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t>按供应商的培训计划承诺进行打分：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第一档，培训计划及培训内容方面安排合理可行，满足用户要求，得4.01-5分；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第二档，培训计划及培训内容方面安排合理可行，满足用户要求，但有不足之处，得3.01-4分；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第三档，无培训计划或培训内容方面安排有缺陷，得0-3分。</w:t>
            </w:r>
          </w:p>
        </w:tc>
      </w:tr>
      <w:tr w14:paraId="7979A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50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27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FAAA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相似业绩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A3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45D73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近三年内，每具备1个5万元以上同类建设合同案例，得1分，此项最高得5分。</w:t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注明：需提供与用户签订的合同复印件。</w:t>
            </w:r>
          </w:p>
        </w:tc>
      </w:tr>
      <w:tr w14:paraId="0888C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3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58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合计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F6C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100</w:t>
            </w:r>
          </w:p>
        </w:tc>
        <w:tc>
          <w:tcPr>
            <w:tcW w:w="8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66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微软雅黑" w:hAnsi="微软雅黑" w:eastAsia="微软雅黑" w:cs="微软雅黑"/>
                <w:b/>
                <w:bCs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30"/>
                <w:szCs w:val="30"/>
                <w:shd w:val="clear" w:fill="FFFFFF"/>
              </w:rPr>
              <w:t>评分说明：供应商综合得分为所有评委打分的算术平均值。</w:t>
            </w:r>
          </w:p>
        </w:tc>
      </w:tr>
    </w:tbl>
    <w:p w14:paraId="468958EB"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BCD3303"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5292D"/>
    <w:rsid w:val="01912DF1"/>
    <w:rsid w:val="162C73CD"/>
    <w:rsid w:val="30A64A5B"/>
    <w:rsid w:val="3378184E"/>
    <w:rsid w:val="3D7F73C7"/>
    <w:rsid w:val="57E66B72"/>
    <w:rsid w:val="60ED1A96"/>
    <w:rsid w:val="62C403C4"/>
    <w:rsid w:val="63FA21A7"/>
    <w:rsid w:val="6D23545A"/>
    <w:rsid w:val="6EB85889"/>
    <w:rsid w:val="72C80E57"/>
    <w:rsid w:val="779E584D"/>
    <w:rsid w:val="7DEB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